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ISTITUTO COMPRENSIVO STATALE “TOSCANINI”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114300</wp:posOffset>
            </wp:positionV>
            <wp:extent cx="1466850" cy="10572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M2/P15:  schema di unità di apprendimento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Scuola secondaria di primo grado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 di Arsago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Besnate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  di Casorate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3 ___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ATTIVITÀ INTERDISCIPLINARE N. 3 - EDUCAZIONE CIVICA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0" w:firstLine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1) Dati identificativi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b w:val="1"/>
          <w:i w:val="1"/>
          <w:sz w:val="20"/>
          <w:szCs w:val="20"/>
          <w:highlight w:val="yellow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Titolo: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Cittadini del mondo </w:t>
      </w:r>
      <w:r w:rsidDel="00000000" w:rsidR="00000000" w:rsidRPr="00000000">
        <w:rPr>
          <w:b w:val="1"/>
          <w:i w:val="1"/>
          <w:sz w:val="20"/>
          <w:szCs w:val="20"/>
          <w:highlight w:val="yellow"/>
          <w:rtl w:val="0"/>
        </w:rPr>
        <w:t xml:space="preserve">(UDA classi terze n.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Riferimento: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tutte le discipline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Alunni destinatari: </w:t>
      </w:r>
      <w:r w:rsidDel="00000000" w:rsidR="00000000" w:rsidRPr="00000000">
        <w:rPr>
          <w:sz w:val="20"/>
          <w:szCs w:val="20"/>
          <w:rtl w:val="0"/>
        </w:rPr>
        <w:t xml:space="preserve">tutti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Docente e/o altra figura professionale: </w:t>
      </w:r>
      <w:r w:rsidDel="00000000" w:rsidR="00000000" w:rsidRPr="00000000">
        <w:rPr>
          <w:sz w:val="20"/>
          <w:szCs w:val="20"/>
          <w:rtl w:val="0"/>
        </w:rPr>
        <w:t xml:space="preserve">tutto il gruppo docenti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2) Articolazione UDA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Situazione formativa:</w:t>
      </w:r>
      <w:r w:rsidDel="00000000" w:rsidR="00000000" w:rsidRPr="00000000">
        <w:rPr>
          <w:sz w:val="20"/>
          <w:szCs w:val="20"/>
          <w:rtl w:val="0"/>
        </w:rPr>
        <w:t xml:space="preserve"> gruppo classe; in orizzontale;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Obiettivi dell’attività: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Conoscere gli ordinamenti comunitari ed internazionali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Riconoscere l’importanza della Costituzione e delle organizzazioni internazionali per la difesa dei diritti delle persone.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Comprendere l’importanza di comportamenti rispettosi della legalità, del lavoro e dell’identità di genere.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Assumere comportamenti responsabili riconoscendo i valori comuni condivisi.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Conoscere le principali cause dell’inquinamento atmosferico, del suolo e delle acque e individuare possibili soluzioni.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Comprendere come il proprio comportamento online abbia una ricaduta nel mondo reale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3) Organizzazione didattica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Collocazione dell’UDA: </w:t>
      </w:r>
      <w:r w:rsidDel="00000000" w:rsidR="00000000" w:rsidRPr="00000000">
        <w:rPr>
          <w:sz w:val="20"/>
          <w:szCs w:val="20"/>
          <w:rtl w:val="0"/>
        </w:rPr>
        <w:t xml:space="preserve">curricolo obbligatorio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Tempi (durata dell’UDA e/o delle singole fasi): </w:t>
      </w:r>
      <w:r w:rsidDel="00000000" w:rsidR="00000000" w:rsidRPr="00000000">
        <w:rPr>
          <w:sz w:val="20"/>
          <w:szCs w:val="20"/>
          <w:rtl w:val="0"/>
        </w:rPr>
        <w:t xml:space="preserve">intero anno scolastico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Ambienti di apprendimento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Spazi: </w:t>
      </w:r>
      <w:r w:rsidDel="00000000" w:rsidR="00000000" w:rsidRPr="00000000">
        <w:rPr>
          <w:sz w:val="20"/>
          <w:szCs w:val="20"/>
          <w:rtl w:val="0"/>
        </w:rPr>
        <w:t xml:space="preserve">edificio scolastico e territorio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Sviluppo dell’attività/metodo: </w:t>
      </w:r>
      <w:r w:rsidDel="00000000" w:rsidR="00000000" w:rsidRPr="00000000">
        <w:rPr>
          <w:sz w:val="20"/>
          <w:szCs w:val="20"/>
          <w:rtl w:val="0"/>
        </w:rPr>
        <w:t xml:space="preserve">didattica laboratoriale e digitale, lavoro individuale e/o di gruppo, lezione frontale, discussione guidata, debate,uso del problem solving.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Prodotti finali: </w:t>
      </w:r>
      <w:r w:rsidDel="00000000" w:rsidR="00000000" w:rsidRPr="00000000">
        <w:rPr>
          <w:sz w:val="20"/>
          <w:szCs w:val="20"/>
          <w:rtl w:val="0"/>
        </w:rPr>
        <w:t xml:space="preserve">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compiti di realtà, realizzare prodotti informativi, brochure, lapbook, manifesti, blog, quiz, mappe interattive, sondaggi e interviste (raccolta ed elaborazione di dati), statuti e regolamenti,lavori di analisi ed interpretazione sui fatti di cronaca ed attualità.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Eventuali soluzioni organizzative: </w:t>
      </w:r>
      <w:r w:rsidDel="00000000" w:rsidR="00000000" w:rsidRPr="00000000">
        <w:rPr>
          <w:sz w:val="20"/>
          <w:szCs w:val="20"/>
          <w:rtl w:val="0"/>
        </w:rPr>
        <w:t xml:space="preserve">Progettazione comune tra i vari dipartimenti disciplinari della scuola secondaria; suddivisione dei compiti tra docenti.Collaborazione con varie realtà del territorio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Eventuali materiali da utilizzare:</w:t>
      </w:r>
      <w:r w:rsidDel="00000000" w:rsidR="00000000" w:rsidRPr="00000000">
        <w:rPr>
          <w:sz w:val="20"/>
          <w:szCs w:val="20"/>
          <w:rtl w:val="0"/>
        </w:rPr>
        <w:t xml:space="preserve"> libro di testo, LIM, video, materiale fornito direttamente dagli insegnanti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7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Contenuti: 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[Adattare aggiungendo nella tabella (o cancellando) le attività e gli argomenti che verranno trattati durante l’anno]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left="720" w:firstLine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left="720" w:firstLine="0"/>
        <w:jc w:val="both"/>
        <w:rPr>
          <w:rFonts w:ascii="Verdana" w:cs="Verdana" w:eastAsia="Verdana" w:hAnsi="Verdana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Verdana" w:cs="Verdana" w:eastAsia="Verdana" w:hAnsi="Verdana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8.9056532604086"/>
        <w:gridCol w:w="2445.535385921072"/>
        <w:gridCol w:w="2445.535385921072"/>
        <w:gridCol w:w="2445.535385921072"/>
        <w:tblGridChange w:id="0">
          <w:tblGrid>
            <w:gridCol w:w="1688.9056532604086"/>
            <w:gridCol w:w="2445.535385921072"/>
            <w:gridCol w:w="2445.535385921072"/>
            <w:gridCol w:w="2445.535385921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Cittadinanza e Costituzione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Sviluppo sostenibile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Cittadinanza 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Rappresentanti di classe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sviluppo del pensiero critico (tramite debate, testi argomentativi, discussioni guidate)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il comportamento online: la netiquette, la cyber-stupidity (hate speech, trolling, flaming...)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riduzione delle disuguaglianze (parità di genere)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pace, giustizia e trasparenza. L'Italia e il ripudio della guerra sancito dall'Art. 11 della Costituzione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la tutela dei diritti dei cittadini attraverso le organizzazioni internazionali (Onu, Fao, OIM...)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il global warming, l'effetto serra ed i disastri ambientali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Lingua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Francese: bullismo scolastico e cyberbullismo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Matematica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cambiamento climatico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Tecnologia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Inquinamento da combustibili fossili - Le energie rinnovabili sono davvero "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green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"? - La questione nucleare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Energia, ambiente e salute - Smart Grid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Sicurezza nell'uso dei principali elettrodomestici - Sicurezza in rete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Musica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analisi di testi di cantautori su temi sociali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conoscenza di musica di vari Paesi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Ed. Fisica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Il razzismo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il doping e le droghe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IRC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il potere della non-violenza(madre Teresa Gandhi Martin Luther King)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Enciclica "Laudato si'" e la cura del creato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Ogni docente secondo le caratteristiche e peculiarità della propria disciplina, tenendo conto dei bisogni formativi della classe, introduce i contenuti didattici. </w:t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4) Accertamento delle competenze e controllo dei processi di insegnamento/apprendimento:</w:t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tramite l’osservazione sistematica dei docenti, lo stimolo all’autovalutazione e l’utilizzo di rubriche valutative, si terrà traccia dell’impegno, della partecipazione, del metodo di lavoro, delle competenze sociali e civiche apprese.</w:t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Tempi, strumenti e modalità di verifica degli apprendimenti: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osservazione sistematica, questionari di comprensione orale, scritta e grafica; colloqui; prove pratiche; verifiche strutturate e semistrutturate; esercitazioni individuali e collettive; produzione testi e di compiti di realtà.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5) Indicare eventuali adeguamenti effettuati in itinere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[Alla fine dell’anno, elencare gli argomenti o le fasi dell’Uda che non si è riusciti a trattare]</w:t>
      </w:r>
    </w:p>
    <w:p w:rsidR="00000000" w:rsidDel="00000000" w:rsidP="00000000" w:rsidRDefault="00000000" w:rsidRPr="00000000" w14:paraId="0000006E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9029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29"/>
      <w:tblGridChange w:id="0">
        <w:tblGrid>
          <w:gridCol w:w="9029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3">
          <w:pPr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M2/P15: Schema di unità di apprendimento                                     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/3   </w:t>
          </w:r>
        </w:p>
        <w:p w:rsidR="00000000" w:rsidDel="00000000" w:rsidP="00000000" w:rsidRDefault="00000000" w:rsidRPr="00000000" w14:paraId="00000074">
          <w:pPr>
            <w:widowControl w:val="0"/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Rev.n.10 data settembre ’21</w:t>
          </w:r>
        </w:p>
      </w:tc>
    </w:tr>
  </w:tbl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